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A8" w:rsidRDefault="0036100E" w:rsidP="0036100E">
      <w:pPr>
        <w:jc w:val="center"/>
        <w:rPr>
          <w:b/>
        </w:rPr>
      </w:pPr>
      <w:bookmarkStart w:id="0" w:name="_GoBack"/>
      <w:bookmarkEnd w:id="0"/>
      <w:r w:rsidRPr="0036100E">
        <w:rPr>
          <w:b/>
        </w:rPr>
        <w:t>Programma triennale per la trasparenza e l’integrità 20</w:t>
      </w:r>
      <w:r w:rsidR="006A192E">
        <w:rPr>
          <w:b/>
        </w:rPr>
        <w:t>21</w:t>
      </w:r>
      <w:r w:rsidRPr="0036100E">
        <w:rPr>
          <w:b/>
        </w:rPr>
        <w:t xml:space="preserve"> – 20</w:t>
      </w:r>
      <w:r w:rsidR="006A192E">
        <w:rPr>
          <w:b/>
        </w:rPr>
        <w:t>23</w:t>
      </w:r>
    </w:p>
    <w:p w:rsidR="0036100E" w:rsidRDefault="0036100E" w:rsidP="0036100E">
      <w:pPr>
        <w:jc w:val="center"/>
        <w:rPr>
          <w:b/>
        </w:rPr>
      </w:pPr>
    </w:p>
    <w:p w:rsidR="0036100E" w:rsidRDefault="0036100E" w:rsidP="0036100E">
      <w:pPr>
        <w:jc w:val="center"/>
        <w:rPr>
          <w:b/>
        </w:rPr>
      </w:pPr>
    </w:p>
    <w:p w:rsidR="0036100E" w:rsidRDefault="0036100E" w:rsidP="009A1FFE">
      <w:pPr>
        <w:jc w:val="both"/>
      </w:pPr>
      <w:r>
        <w:t xml:space="preserve">Indice Introduzione: organizzazione e funzioni del Consorzio ...................................................................... </w:t>
      </w:r>
    </w:p>
    <w:p w:rsidR="0036100E" w:rsidRDefault="0036100E" w:rsidP="009A1FFE">
      <w:pPr>
        <w:jc w:val="both"/>
      </w:pPr>
      <w:r>
        <w:t xml:space="preserve">1. Le principali novità...................................................................................................................................... </w:t>
      </w:r>
    </w:p>
    <w:p w:rsidR="0036100E" w:rsidRDefault="0036100E" w:rsidP="009A1FFE">
      <w:pPr>
        <w:jc w:val="both"/>
      </w:pPr>
      <w:r>
        <w:t xml:space="preserve">2. Procedimento di elaborazione e adozione del Programma .......................................................................... </w:t>
      </w:r>
    </w:p>
    <w:p w:rsidR="0036100E" w:rsidRDefault="0036100E" w:rsidP="009A1FFE">
      <w:pPr>
        <w:jc w:val="both"/>
      </w:pPr>
      <w:r>
        <w:t xml:space="preserve">3. Iniziative di comunicazione della trasparenza............................................................................................. </w:t>
      </w:r>
    </w:p>
    <w:p w:rsidR="0036100E" w:rsidRDefault="0036100E" w:rsidP="009A1FFE">
      <w:pPr>
        <w:jc w:val="both"/>
      </w:pPr>
      <w:r>
        <w:t>4. Processo di attuazione del programma ........................................................................................................</w:t>
      </w:r>
    </w:p>
    <w:p w:rsidR="009A1FFE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9E13F2">
        <w:t xml:space="preserve">Ai fini di cui agli art.  60 e 61 del T. U. sulla Istruzione Universitaria, approvato con R.D. 31/08/1933 n. </w:t>
      </w:r>
      <w:proofErr w:type="gramStart"/>
      <w:r w:rsidRPr="009E13F2">
        <w:t>1592  e</w:t>
      </w:r>
      <w:proofErr w:type="gramEnd"/>
      <w:r w:rsidRPr="009E13F2">
        <w:t xml:space="preserve"> di cui all’art. </w:t>
      </w:r>
      <w:r>
        <w:t>8</w:t>
      </w:r>
      <w:r w:rsidRPr="009E13F2">
        <w:t xml:space="preserve"> della L. 19/11/1990  n.ro 341 e successive modificazioni ed integrazioni per il sostegno e lo sviluppo degli studi universitari nella Provincia di Ragusa, è costituito il Consorzio, non avente scopo di lucro, denominato: “Consorzio universitario della Provincia di Ragusa”.</w:t>
      </w:r>
    </w:p>
    <w:p w:rsidR="0036100E" w:rsidRDefault="0036100E" w:rsidP="0036100E">
      <w:pPr>
        <w:jc w:val="center"/>
      </w:pPr>
    </w:p>
    <w:p w:rsidR="009A1FFE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9E13F2">
        <w:t xml:space="preserve">Il Consorzio, al fine di rispondere alle esigenze di crescita culturale della popolazione e di sviluppo socio-economico del territorio ragusano e nel quadro di un’organica e diffusa presenza dell’istruzione universitaria e dell’alta formazione nel territorio regionale, si propone di promuovere ed assicurare, operando con criteri di efficienza, efficacia ed economicità, le seguenti attività: 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1</w:t>
      </w:r>
      <w:r w:rsidRPr="009E13F2">
        <w:t xml:space="preserve"> e nell’ambito di una progressiva autonomia, stipulando apposite convenzioni con le Università;</w:t>
      </w:r>
      <w:r w:rsidRPr="009E13F2">
        <w:br/>
      </w:r>
      <w:r w:rsidRPr="00782BF8">
        <w:rPr>
          <w:b/>
        </w:rPr>
        <w:t>2.</w:t>
      </w:r>
      <w:r w:rsidRPr="009E13F2">
        <w:t xml:space="preserve"> avvio, concorso, partecipazione e stimolo alla partecipazione a progetti di ricerca e di sviluppo territoriale su fondi strutturali, nazionali ed europei aventi ricadute sul territorio di riferimento, anche assumendosene gli oneri organizzativi ed amministrativi;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3.</w:t>
      </w:r>
      <w:r w:rsidRPr="009E13F2">
        <w:t xml:space="preserve"> istituzione, organizzazione e/o gestione amministrativa di convegni, corsi di perfezionamento, di formazione professionale, laboratori, centri di ricerca, seminari, master e manifestazioni culturali, stipulando, ove occorrenti, apposite convenzioni;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4.</w:t>
      </w:r>
      <w:r w:rsidRPr="009E13F2">
        <w:t xml:space="preserve"> apprestamento e gestione, anche utilizzando a tal fine strutture ed edifici esistenti, di strutture logistiche da destinare alle attività didattiche, di ricerca e di formazione.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5.</w:t>
      </w:r>
      <w:r w:rsidRPr="009E13F2">
        <w:t xml:space="preserve"> acquisizione e gestione di arredi e di apparecchiature tecniche e scientifiche correlativamente individuate necessitanti;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6.</w:t>
      </w:r>
      <w:r w:rsidRPr="009E13F2">
        <w:t xml:space="preserve"> organizzazione e sostenimento, anche in concorso, di servizi di accoglienza per studenti e docenti ospiti;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7.</w:t>
      </w:r>
      <w:r w:rsidRPr="009E13F2">
        <w:t xml:space="preserve"> gestione diretta di attività culturali rivolte a realizzare sinergia tra ricerca, territorio e sviluppo; </w:t>
      </w:r>
      <w:r w:rsidRPr="009E13F2">
        <w:br/>
      </w:r>
      <w:r w:rsidRPr="00782BF8">
        <w:rPr>
          <w:b/>
        </w:rPr>
        <w:t>8.</w:t>
      </w:r>
      <w:r w:rsidRPr="009E13F2">
        <w:t xml:space="preserve"> Collaborazione con tutti i paesi esteri per la realizzazione di progetti comuni di sviluppo dell’attività di </w:t>
      </w:r>
      <w:proofErr w:type="gramStart"/>
      <w:r w:rsidRPr="009E13F2">
        <w:t>formazione  professionale</w:t>
      </w:r>
      <w:proofErr w:type="gramEnd"/>
      <w:r w:rsidRPr="009E13F2">
        <w:t>, universitaria e scientifica.</w:t>
      </w:r>
    </w:p>
    <w:p w:rsidR="009A1FFE" w:rsidRPr="009E13F2" w:rsidRDefault="009A1FFE" w:rsidP="009A1FFE">
      <w:pPr>
        <w:shd w:val="clear" w:color="auto" w:fill="FFFFFF"/>
        <w:autoSpaceDE w:val="0"/>
        <w:autoSpaceDN w:val="0"/>
        <w:adjustRightInd w:val="0"/>
        <w:jc w:val="both"/>
      </w:pPr>
      <w:r w:rsidRPr="00782BF8">
        <w:rPr>
          <w:b/>
        </w:rPr>
        <w:t>9.</w:t>
      </w:r>
      <w:r w:rsidRPr="009E13F2">
        <w:t xml:space="preserve"> ogni altra iniziativa idonea a promuovere in raccordo con università italiane e straniere, con le forze produttive, con le istituzioni scolastiche operanti nel territorio, lo sviluppo della cultura, dell'educazione e formazione professionale permanente in coerenza con gli indirizzi di sviluppo socio economico del territorio di riferimento e della Sicilia. Per il perseguimento dei suoi scopi istituzionali e statutari il Consorzio potrà operare sia direttamente - ove occorrendo, e preferibilmente con il coinvolgimento dei soci e degli eventuali sostenitori esterni - che attraverso convenzioni ed accordi con Università e con altri soggetti pubblici e privati, riferendosi ove compatibili all’utilizzo delle intelligenze e delle professionalità locali. Potrà, inoltre, partecipare a formazioni associative, consortili o societarie i cui fini statutari siano compatibili e/o connessi con quelli del Consorzio.</w:t>
      </w:r>
    </w:p>
    <w:p w:rsidR="009A1FFE" w:rsidRDefault="009A1FFE" w:rsidP="0036100E">
      <w:pPr>
        <w:jc w:val="both"/>
      </w:pPr>
    </w:p>
    <w:p w:rsidR="00D27AA8" w:rsidRDefault="00D27AA8">
      <w:pPr>
        <w:jc w:val="right"/>
      </w:pPr>
    </w:p>
    <w:p w:rsidR="00F96AF4" w:rsidRDefault="00F96AF4" w:rsidP="00F96AF4">
      <w:pPr>
        <w:jc w:val="both"/>
      </w:pPr>
      <w:r>
        <w:t xml:space="preserve">Con la redazione del Programma triennale per la trasparenza e l’integrità, il Consorzio Universitario della Provincia di Ragusa intende dare attuazione al principio di trasparenza, intesa come accessibilità totale delle informazioni concernenti l’organizzazione e l’attività, allo scopo di favorire forme diffuse di controllo sul perseguimento delle funzioni istituzionali e sull’utilizzo delle risorse pubbliche (art. </w:t>
      </w:r>
      <w:proofErr w:type="gramStart"/>
      <w:r>
        <w:t>1,comma</w:t>
      </w:r>
      <w:proofErr w:type="gramEnd"/>
      <w:r>
        <w:t xml:space="preserve"> 3, </w:t>
      </w:r>
      <w:proofErr w:type="spellStart"/>
      <w:r>
        <w:t>d.Lgs</w:t>
      </w:r>
      <w:proofErr w:type="spellEnd"/>
      <w:r>
        <w:t xml:space="preserve"> 33/2003).</w:t>
      </w:r>
    </w:p>
    <w:p w:rsidR="00F96AF4" w:rsidRDefault="00F96AF4" w:rsidP="00F96AF4">
      <w:pPr>
        <w:jc w:val="both"/>
      </w:pPr>
      <w:r>
        <w:t xml:space="preserve">Il programma predisposto dal Direttore del Consorzio nella qualità di Responsabile della Prevenzione della corruzione e di Responsabile della Trasparenza, giusta Delibera del Consiglio di Amministrazione del 16 aprile 2015definisce le misure, i modi e le iniziative per l’adempimento degli obblighi di pubblicazione previsti dalla normativa vigente, ivi comprese le misure organizzative volte ad assicurare la regolarità e la tempestività dei flussi informativi. Le misure del programma triennale sono coordinate con le misure e gli interventi previsti dal piano di prevenzione della corruzione, del quale il Programma costituisce una sezione. </w:t>
      </w:r>
    </w:p>
    <w:p w:rsidR="00BC1A6A" w:rsidRDefault="00BC1A6A" w:rsidP="00F96AF4">
      <w:pPr>
        <w:jc w:val="both"/>
      </w:pPr>
    </w:p>
    <w:p w:rsidR="00F96AF4" w:rsidRDefault="00F96AF4" w:rsidP="00F96AF4">
      <w:pPr>
        <w:jc w:val="both"/>
        <w:rPr>
          <w:b/>
        </w:rPr>
      </w:pPr>
      <w:r w:rsidRPr="00F96AF4">
        <w:rPr>
          <w:b/>
        </w:rPr>
        <w:t xml:space="preserve">2. Procedimento di elaborazione e adozione del Programma </w:t>
      </w:r>
    </w:p>
    <w:p w:rsidR="00F96AF4" w:rsidRPr="00F96AF4" w:rsidRDefault="00F96AF4" w:rsidP="00F96AF4">
      <w:pPr>
        <w:jc w:val="both"/>
        <w:rPr>
          <w:b/>
        </w:rPr>
      </w:pPr>
    </w:p>
    <w:p w:rsidR="00F96AF4" w:rsidRPr="009A1FFE" w:rsidRDefault="00F96AF4" w:rsidP="00F96AF4">
      <w:pPr>
        <w:jc w:val="both"/>
        <w:rPr>
          <w:i/>
        </w:rPr>
      </w:pPr>
      <w:r w:rsidRPr="009A1FFE">
        <w:rPr>
          <w:i/>
        </w:rPr>
        <w:t xml:space="preserve">Obiettivi strategici in materia di trasparenza </w:t>
      </w:r>
    </w:p>
    <w:p w:rsidR="00F96AF4" w:rsidRPr="009A1FFE" w:rsidRDefault="00F96AF4" w:rsidP="00F96AF4">
      <w:pPr>
        <w:jc w:val="both"/>
        <w:rPr>
          <w:i/>
        </w:rPr>
      </w:pPr>
    </w:p>
    <w:p w:rsidR="00F96AF4" w:rsidRDefault="00F96AF4" w:rsidP="00F96AF4">
      <w:pPr>
        <w:jc w:val="both"/>
      </w:pPr>
      <w:r>
        <w:t xml:space="preserve">Il Consorzio, attraverso il responsabile della trasparenza, garantisce la massima trasparenza della propria azione organizzativa e lo sviluppo della cultura della legalità e dell'integrità del proprio personale. La trasparenza è intesa come accessibilità totale, anche attraverso lo strumento della pubblicazione sul proprio sito istituzionale, delle informazioni concernenti ogni aspetto dell'organizzazione, degli indicatori relativi agli andamenti gestionali e all'utilizzo delle risorse </w:t>
      </w:r>
      <w:r>
        <w:lastRenderedPageBreak/>
        <w:t xml:space="preserve">per il perseguimento delle funzioni istituzionali e dei risultati dell'attività di misurazione e valutazione, allo scopo di favorire forme diffuse di controllo del rispetto dei principi di buon andamento e imparzialità. </w:t>
      </w:r>
    </w:p>
    <w:p w:rsidR="00F96AF4" w:rsidRDefault="00F96AF4" w:rsidP="00F96AF4">
      <w:pPr>
        <w:jc w:val="both"/>
      </w:pPr>
    </w:p>
    <w:p w:rsidR="00F96AF4" w:rsidRPr="009A1FFE" w:rsidRDefault="00F96AF4" w:rsidP="00F96AF4">
      <w:pPr>
        <w:jc w:val="both"/>
        <w:rPr>
          <w:i/>
        </w:rPr>
      </w:pPr>
      <w:r w:rsidRPr="009A1FFE">
        <w:rPr>
          <w:i/>
        </w:rPr>
        <w:t>Collegamenti con il piano della performance e con il piano esecutivo di gestione</w:t>
      </w:r>
    </w:p>
    <w:p w:rsidR="00F96AF4" w:rsidRPr="009A1FFE" w:rsidRDefault="00F96AF4" w:rsidP="00F96AF4">
      <w:pPr>
        <w:jc w:val="both"/>
        <w:rPr>
          <w:i/>
        </w:rPr>
      </w:pPr>
    </w:p>
    <w:p w:rsidR="00F96AF4" w:rsidRDefault="00F96AF4" w:rsidP="00F96AF4">
      <w:pPr>
        <w:jc w:val="both"/>
      </w:pPr>
      <w:r>
        <w:t xml:space="preserve"> Il piano della performance 20</w:t>
      </w:r>
      <w:r w:rsidR="006A192E">
        <w:t>21</w:t>
      </w:r>
      <w:r>
        <w:t>/20</w:t>
      </w:r>
      <w:r w:rsidR="006A192E">
        <w:t>23</w:t>
      </w:r>
      <w:r>
        <w:t xml:space="preserve"> contiene i seguenti obiettivi attribuiti al responsabile della trasparenza: </w:t>
      </w:r>
      <w:proofErr w:type="gramStart"/>
      <w:r>
        <w:t>1)pubblicazione</w:t>
      </w:r>
      <w:proofErr w:type="gramEnd"/>
      <w:r>
        <w:t xml:space="preserve"> nella sezione “Amministrazione trasparente” dei dati previsti dal d.lgs. 33/2013; </w:t>
      </w:r>
    </w:p>
    <w:p w:rsidR="009705C5" w:rsidRDefault="00F96AF4" w:rsidP="00F96AF4">
      <w:pPr>
        <w:jc w:val="both"/>
      </w:pPr>
      <w:r>
        <w:t>2)definizione e monitoraggio del programma per la trasparenza e l’integrità.</w:t>
      </w:r>
    </w:p>
    <w:p w:rsidR="009705C5" w:rsidRDefault="009705C5" w:rsidP="00F96AF4">
      <w:pPr>
        <w:jc w:val="both"/>
      </w:pPr>
    </w:p>
    <w:p w:rsidR="009705C5" w:rsidRPr="00817F7F" w:rsidRDefault="00F96AF4" w:rsidP="00F96AF4">
      <w:pPr>
        <w:jc w:val="both"/>
        <w:rPr>
          <w:i/>
        </w:rPr>
      </w:pPr>
      <w:r w:rsidRPr="00817F7F">
        <w:rPr>
          <w:i/>
        </w:rPr>
        <w:t>Indicazione degli uffici e dei dirigenti coinvolti per l’individuazione dei contenuti del programma</w:t>
      </w:r>
      <w:r w:rsidR="009705C5" w:rsidRPr="00817F7F">
        <w:rPr>
          <w:i/>
        </w:rPr>
        <w:t>.</w:t>
      </w:r>
    </w:p>
    <w:p w:rsidR="009705C5" w:rsidRDefault="009705C5" w:rsidP="00F96AF4">
      <w:pPr>
        <w:jc w:val="both"/>
      </w:pPr>
    </w:p>
    <w:p w:rsidR="009705C5" w:rsidRDefault="00F96AF4" w:rsidP="00F96AF4">
      <w:pPr>
        <w:jc w:val="both"/>
      </w:pPr>
      <w:r>
        <w:t xml:space="preserve">Il responsabile della trasparenza per il Consorzio è: </w:t>
      </w:r>
      <w:r w:rsidR="00BC1A6A">
        <w:t xml:space="preserve">Carla </w:t>
      </w:r>
      <w:proofErr w:type="spellStart"/>
      <w:r w:rsidR="00BC1A6A">
        <w:t>Santocono</w:t>
      </w:r>
      <w:proofErr w:type="spellEnd"/>
      <w:r w:rsidR="00BC1A6A">
        <w:t xml:space="preserve"> </w:t>
      </w:r>
      <w:proofErr w:type="spellStart"/>
      <w:proofErr w:type="gramStart"/>
      <w:r w:rsidR="00BC1A6A">
        <w:t>Sipione</w:t>
      </w:r>
      <w:r>
        <w:t>,Direttore</w:t>
      </w:r>
      <w:proofErr w:type="spellEnd"/>
      <w:proofErr w:type="gramEnd"/>
      <w:r w:rsidR="00BC1A6A">
        <w:t xml:space="preserve"> </w:t>
      </w:r>
      <w:r>
        <w:t xml:space="preserve"> del Consorzio e Responsabile della Prevenzione della Corruzione. </w:t>
      </w:r>
    </w:p>
    <w:p w:rsidR="00BC1A6A" w:rsidRDefault="00BC1A6A" w:rsidP="00F96AF4">
      <w:pPr>
        <w:jc w:val="both"/>
      </w:pPr>
    </w:p>
    <w:p w:rsidR="00BC1A6A" w:rsidRPr="00817F7F" w:rsidRDefault="00F96AF4" w:rsidP="00F96AF4">
      <w:pPr>
        <w:jc w:val="both"/>
        <w:rPr>
          <w:i/>
        </w:rPr>
      </w:pPr>
      <w:r w:rsidRPr="00817F7F">
        <w:rPr>
          <w:i/>
        </w:rPr>
        <w:t>Modalità di coinvolgimento degli stakeholder e i risultati di tale coinvolgimento</w:t>
      </w:r>
      <w:r w:rsidR="00BC1A6A" w:rsidRPr="00817F7F">
        <w:rPr>
          <w:i/>
        </w:rPr>
        <w:t>.</w:t>
      </w:r>
    </w:p>
    <w:p w:rsidR="00BC1A6A" w:rsidRPr="00817F7F" w:rsidRDefault="00BC1A6A" w:rsidP="00F96AF4">
      <w:pPr>
        <w:jc w:val="both"/>
        <w:rPr>
          <w:i/>
        </w:rPr>
      </w:pPr>
    </w:p>
    <w:p w:rsidR="00BC1A6A" w:rsidRDefault="00F96AF4" w:rsidP="00F96AF4">
      <w:pPr>
        <w:jc w:val="both"/>
      </w:pPr>
      <w:r>
        <w:t xml:space="preserve">Il Consorzio coinvolge i diversi portatori di interesse attraverso la disponibilità al confronto diretti con i cittadini, con le associazioni e con le organizzazioni presenti sul territorio L’Amministrazione si impegna in tale senso a inserire il tema della trasparenza all’interno dei prossimi incontri con i diversi portatori di interesse previsti nel corso del 2015 e a rendicontare i risultati di tale coinvolgimento nei prossimi aggiornamenti del piano. </w:t>
      </w:r>
    </w:p>
    <w:p w:rsidR="00BC1A6A" w:rsidRDefault="00BC1A6A" w:rsidP="00F96AF4">
      <w:pPr>
        <w:jc w:val="both"/>
      </w:pPr>
    </w:p>
    <w:p w:rsidR="00BC1A6A" w:rsidRPr="00817F7F" w:rsidRDefault="00F96AF4" w:rsidP="00F96AF4">
      <w:pPr>
        <w:jc w:val="both"/>
        <w:rPr>
          <w:i/>
        </w:rPr>
      </w:pPr>
      <w:r w:rsidRPr="00817F7F">
        <w:rPr>
          <w:i/>
        </w:rPr>
        <w:t>Termini e modalità di adozione del programma da parte del Consiglio Di Amministrazione</w:t>
      </w:r>
    </w:p>
    <w:p w:rsidR="00BC1A6A" w:rsidRPr="00817F7F" w:rsidRDefault="00BC1A6A" w:rsidP="00F96AF4">
      <w:pPr>
        <w:jc w:val="both"/>
        <w:rPr>
          <w:i/>
        </w:rPr>
      </w:pPr>
    </w:p>
    <w:p w:rsidR="00BC1A6A" w:rsidRDefault="00F96AF4" w:rsidP="00F96AF4">
      <w:pPr>
        <w:jc w:val="both"/>
      </w:pPr>
      <w:r>
        <w:t xml:space="preserve"> Il programma triennale per la trasparenza è approvato con deliberazione del Consiglio di Amministrazione entro il 31 gennaio di ogni anno. </w:t>
      </w:r>
    </w:p>
    <w:p w:rsidR="00BC1A6A" w:rsidRDefault="00F96AF4" w:rsidP="00F96AF4">
      <w:pPr>
        <w:jc w:val="both"/>
        <w:rPr>
          <w:b/>
        </w:rPr>
      </w:pPr>
      <w:r w:rsidRPr="00BC1A6A">
        <w:rPr>
          <w:b/>
        </w:rPr>
        <w:t>3. Iniziative di comunicazione della trasparenza</w:t>
      </w:r>
      <w:r w:rsidR="00BC1A6A">
        <w:rPr>
          <w:b/>
        </w:rPr>
        <w:t>.</w:t>
      </w:r>
    </w:p>
    <w:p w:rsidR="00BC1A6A" w:rsidRPr="00817F7F" w:rsidRDefault="00F96AF4" w:rsidP="00F96AF4">
      <w:pPr>
        <w:jc w:val="both"/>
        <w:rPr>
          <w:i/>
        </w:rPr>
      </w:pPr>
      <w:r w:rsidRPr="00817F7F">
        <w:rPr>
          <w:i/>
        </w:rPr>
        <w:t>Iniziative e strumenti di comunicazione per la diffusione dei contenuti del Programma e dei dati pubblicati</w:t>
      </w:r>
      <w:r w:rsidR="00BC1A6A" w:rsidRPr="00817F7F">
        <w:rPr>
          <w:i/>
        </w:rPr>
        <w:t>.</w:t>
      </w:r>
    </w:p>
    <w:p w:rsidR="00BC1A6A" w:rsidRPr="00817F7F" w:rsidRDefault="00BC1A6A" w:rsidP="00F96AF4">
      <w:pPr>
        <w:jc w:val="both"/>
        <w:rPr>
          <w:i/>
        </w:rPr>
      </w:pPr>
    </w:p>
    <w:p w:rsidR="00BC1A6A" w:rsidRDefault="00F96AF4" w:rsidP="00F96AF4">
      <w:pPr>
        <w:jc w:val="both"/>
      </w:pPr>
      <w:r>
        <w:t xml:space="preserve"> Il presente programma è comunicato ai diversi soggetti interessati, secondo le seguenti modalità:</w:t>
      </w:r>
    </w:p>
    <w:p w:rsidR="00BC1A6A" w:rsidRDefault="00F96AF4" w:rsidP="00F96AF4">
      <w:pPr>
        <w:jc w:val="both"/>
      </w:pPr>
      <w:r>
        <w:t xml:space="preserve"> -Pubblicazione sul sito</w:t>
      </w:r>
      <w:r w:rsidR="00BC1A6A">
        <w:t xml:space="preserve"> internet del Consorzio.</w:t>
      </w:r>
    </w:p>
    <w:p w:rsidR="00BC1A6A" w:rsidRDefault="00BC1A6A" w:rsidP="00F96AF4">
      <w:pPr>
        <w:jc w:val="both"/>
      </w:pPr>
    </w:p>
    <w:p w:rsidR="00BC1A6A" w:rsidRDefault="00F96AF4" w:rsidP="00F96AF4">
      <w:pPr>
        <w:jc w:val="both"/>
      </w:pPr>
      <w:r w:rsidRPr="00BC1A6A">
        <w:rPr>
          <w:b/>
        </w:rPr>
        <w:t>4. Processo di attuazione del programma</w:t>
      </w:r>
      <w:r>
        <w:t xml:space="preserve"> </w:t>
      </w:r>
    </w:p>
    <w:p w:rsidR="00BC1A6A" w:rsidRDefault="00F96AF4" w:rsidP="00F96AF4">
      <w:pPr>
        <w:jc w:val="both"/>
        <w:rPr>
          <w:i/>
        </w:rPr>
      </w:pPr>
      <w:r w:rsidRPr="00817F7F">
        <w:rPr>
          <w:i/>
        </w:rPr>
        <w:t>Referenti per la trasparenza all’interno dell’Amministrazione</w:t>
      </w:r>
      <w:r w:rsidR="00BC1A6A" w:rsidRPr="00817F7F">
        <w:rPr>
          <w:i/>
        </w:rPr>
        <w:t>.</w:t>
      </w:r>
    </w:p>
    <w:p w:rsidR="00817F7F" w:rsidRPr="00817F7F" w:rsidRDefault="00817F7F" w:rsidP="00F96AF4">
      <w:pPr>
        <w:jc w:val="both"/>
        <w:rPr>
          <w:i/>
        </w:rPr>
      </w:pPr>
    </w:p>
    <w:p w:rsidR="00BC1A6A" w:rsidRDefault="00F96AF4" w:rsidP="00F96AF4">
      <w:pPr>
        <w:jc w:val="both"/>
      </w:pPr>
      <w:r>
        <w:t>Il responsabile della trasparenza si avvale di un referente all’interno dell’Amministrazione, con l’obiettivo di adempiere gli obblighi di pubblicazione e di aggiornamento dei dati nella sezione “Amministrazione trasparente”.</w:t>
      </w:r>
    </w:p>
    <w:p w:rsidR="00BC1A6A" w:rsidRDefault="00F96AF4" w:rsidP="00F96AF4">
      <w:pPr>
        <w:jc w:val="both"/>
      </w:pPr>
      <w:r>
        <w:t xml:space="preserve">In particolare, si individua nella Dott.ssa </w:t>
      </w:r>
      <w:r w:rsidR="00BC1A6A">
        <w:t>Cinzia Ragusa</w:t>
      </w:r>
      <w:r>
        <w:t xml:space="preserve"> </w:t>
      </w:r>
      <w:r w:rsidR="00BC1A6A">
        <w:t>il soggetto che si occuperà</w:t>
      </w:r>
      <w:r>
        <w:t xml:space="preserve"> </w:t>
      </w:r>
      <w:r w:rsidR="00BC1A6A">
        <w:t>della pubblicazione</w:t>
      </w:r>
      <w:r>
        <w:t xml:space="preserve"> e/o aggiorna</w:t>
      </w:r>
      <w:r w:rsidR="00BC1A6A">
        <w:t>mento</w:t>
      </w:r>
      <w:r>
        <w:t xml:space="preserve"> i dati, della sezione “Amministrazione trasparente”:</w:t>
      </w:r>
    </w:p>
    <w:p w:rsidR="00BC1A6A" w:rsidRDefault="00F96AF4" w:rsidP="00F96AF4">
      <w:pPr>
        <w:jc w:val="both"/>
      </w:pPr>
      <w:r>
        <w:sym w:font="Symbol" w:char="F02D"/>
      </w:r>
      <w:r>
        <w:t xml:space="preserve"> Disposizioni generali </w:t>
      </w:r>
    </w:p>
    <w:p w:rsidR="00BC1A6A" w:rsidRDefault="00F96AF4" w:rsidP="00F96AF4">
      <w:pPr>
        <w:jc w:val="both"/>
      </w:pPr>
      <w:r>
        <w:sym w:font="Symbol" w:char="F02D"/>
      </w:r>
      <w:r>
        <w:t xml:space="preserve"> Organizzazione</w:t>
      </w:r>
    </w:p>
    <w:p w:rsidR="00BC1A6A" w:rsidRDefault="00F96AF4" w:rsidP="00F96AF4">
      <w:pPr>
        <w:jc w:val="both"/>
      </w:pPr>
      <w:r>
        <w:sym w:font="Symbol" w:char="F02D"/>
      </w:r>
      <w:r>
        <w:t xml:space="preserve"> Consulenti e collaboratori </w:t>
      </w:r>
    </w:p>
    <w:p w:rsidR="00BC1A6A" w:rsidRDefault="00F96AF4" w:rsidP="00F96AF4">
      <w:pPr>
        <w:jc w:val="both"/>
      </w:pPr>
      <w:r>
        <w:sym w:font="Symbol" w:char="F02D"/>
      </w:r>
      <w:r>
        <w:t xml:space="preserve"> Personale </w:t>
      </w:r>
    </w:p>
    <w:p w:rsidR="00BC1A6A" w:rsidRDefault="00F96AF4" w:rsidP="00F96AF4">
      <w:pPr>
        <w:jc w:val="both"/>
      </w:pPr>
      <w:r>
        <w:sym w:font="Symbol" w:char="F02D"/>
      </w:r>
      <w:r>
        <w:t xml:space="preserve"> Bandi di concorso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Performance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Enti controllati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Attività e procedimenti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Provvedimenti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Bandi di gara, Avvisi e contratti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Sovvenzioni, contributi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Bilanci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Beni immobili e gestione patrimonio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Controlli e rilievi sull'amministrazione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Servizi erogati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Altri contenuti - Corruzione: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Altri contenuti - Accesso civico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Altri contenuti - Accessibilità e Catalogo di dati, metadati e banche dati: </w:t>
      </w:r>
    </w:p>
    <w:p w:rsidR="0036100E" w:rsidRDefault="00F96AF4" w:rsidP="00F96AF4">
      <w:pPr>
        <w:jc w:val="both"/>
      </w:pPr>
      <w:r>
        <w:sym w:font="Symbol" w:char="F02D"/>
      </w:r>
      <w:r>
        <w:t xml:space="preserve"> Altri contenuti - Dati ulteriori:</w:t>
      </w:r>
    </w:p>
    <w:p w:rsidR="0036100E" w:rsidRDefault="0036100E" w:rsidP="00F96AF4">
      <w:pPr>
        <w:jc w:val="both"/>
      </w:pPr>
    </w:p>
    <w:p w:rsidR="0036100E" w:rsidRDefault="00F96AF4" w:rsidP="00F96AF4">
      <w:pPr>
        <w:jc w:val="both"/>
        <w:rPr>
          <w:i/>
        </w:rPr>
      </w:pPr>
      <w:r w:rsidRPr="00817F7F">
        <w:rPr>
          <w:i/>
        </w:rPr>
        <w:t>Misure organizzative volte ad assicurare la regolarità e la tempestività dei flussi informativi</w:t>
      </w:r>
    </w:p>
    <w:p w:rsidR="00817F7F" w:rsidRPr="00817F7F" w:rsidRDefault="00817F7F" w:rsidP="00F96AF4">
      <w:pPr>
        <w:jc w:val="both"/>
        <w:rPr>
          <w:i/>
        </w:rPr>
      </w:pPr>
    </w:p>
    <w:p w:rsidR="0036100E" w:rsidRDefault="00F96AF4" w:rsidP="00F96AF4">
      <w:pPr>
        <w:jc w:val="both"/>
      </w:pPr>
      <w:r>
        <w:lastRenderedPageBreak/>
        <w:t xml:space="preserve">Il Consorzio, per il tramite del responsabile della trasparenza e del referente individuato nel precedente paragrafo, pubblica i dati secondo le scadenze previste dalla legge e, laddove non sia presente una scadenza, si attiene al principio della tempestività. Il concetto di tempestività è interpretato in relazione ai portatori di interesse: la pubblicazione deve essere effettuata in tempo utile a consentire loro di esperire tutti i mezzi di tutela riconosciuti dalla legge quali la proposizione di ricorsi giurisdizionali. La pubblicazione dei dati va effettuata di norma entro 7 giorni dall’adozione del provvedimento. L’aggiornamento deve essere effettuato con cadenza mensile. </w:t>
      </w:r>
    </w:p>
    <w:p w:rsidR="0036100E" w:rsidRDefault="0036100E" w:rsidP="00F96AF4">
      <w:pPr>
        <w:jc w:val="both"/>
      </w:pPr>
    </w:p>
    <w:p w:rsidR="0036100E" w:rsidRPr="00817F7F" w:rsidRDefault="00F96AF4" w:rsidP="00F96AF4">
      <w:pPr>
        <w:jc w:val="both"/>
        <w:rPr>
          <w:i/>
        </w:rPr>
      </w:pPr>
      <w:r w:rsidRPr="00817F7F">
        <w:rPr>
          <w:i/>
        </w:rPr>
        <w:t xml:space="preserve">Misure di monitoraggio e di vigilanza sull’attuazione degli obblighi di trasparenza a supporto dell’attività di controllo dell’adempimento da parte del responsabile della trasparenza </w:t>
      </w:r>
    </w:p>
    <w:p w:rsidR="0036100E" w:rsidRDefault="00F96AF4" w:rsidP="00F96AF4">
      <w:pPr>
        <w:jc w:val="both"/>
      </w:pPr>
      <w:r>
        <w:t>Viste le ridotte dimensioni del Consorzio, il monitoraggio per la verifica dei dati viene effettuato dal responsabile della trasparenza con cadenza trimestrale.</w:t>
      </w:r>
    </w:p>
    <w:p w:rsidR="0036100E" w:rsidRDefault="0036100E" w:rsidP="00F96AF4">
      <w:pPr>
        <w:jc w:val="both"/>
      </w:pPr>
    </w:p>
    <w:p w:rsidR="0036100E" w:rsidRPr="00817F7F" w:rsidRDefault="00F96AF4" w:rsidP="00F96AF4">
      <w:pPr>
        <w:jc w:val="both"/>
        <w:rPr>
          <w:i/>
        </w:rPr>
      </w:pPr>
      <w:r w:rsidRPr="00817F7F">
        <w:rPr>
          <w:i/>
        </w:rPr>
        <w:t xml:space="preserve"> Strumenti e tecniche di rilevazione dell’effettivo utilizzo dei dati da parte degli utenti della sezione “Amministrazione trasparente” </w:t>
      </w:r>
    </w:p>
    <w:p w:rsidR="00D27AA8" w:rsidRDefault="00F96AF4" w:rsidP="00F96AF4">
      <w:pPr>
        <w:jc w:val="both"/>
      </w:pPr>
      <w:r>
        <w:t>Il Consorzio, si doterà, nel corso del 20</w:t>
      </w:r>
      <w:r w:rsidR="006A192E">
        <w:t>22</w:t>
      </w:r>
      <w:r>
        <w:t>, di uno strumento di rilevazione dell’effettivo utilizzo dei dati pubblicati sul sito Internet. Misure per assicurare l’efficacia dell’istituto dell’accesso civico AI sensi dell’articolo 5, comma 2, del decreto legislativo n. 33/2013, la richiesta di accesso civico non è sottoposta ad alcuna limitazione, quanto alla legittimazione soggettiva del richiedente non deve essere motivata, è gratuita e va presentata al responsabile della trasparenza dell'Amministrazione. Il responsabile della trasparenza si pronuncia in ordine alla richiesta di accesso civico e ne controlla e assicura la regolare attuazione.</w:t>
      </w:r>
    </w:p>
    <w:p w:rsidR="00D27AA8" w:rsidRDefault="00D27AA8" w:rsidP="00F96AF4">
      <w:pPr>
        <w:jc w:val="both"/>
      </w:pPr>
    </w:p>
    <w:p w:rsidR="00D27AA8" w:rsidRDefault="00D27AA8" w:rsidP="00F96AF4">
      <w:pPr>
        <w:jc w:val="both"/>
      </w:pPr>
    </w:p>
    <w:p w:rsidR="00D27AA8" w:rsidRDefault="00D27AA8" w:rsidP="00F96AF4">
      <w:pPr>
        <w:jc w:val="both"/>
      </w:pPr>
    </w:p>
    <w:p w:rsidR="00D27AA8" w:rsidRDefault="00D27AA8" w:rsidP="00F96AF4">
      <w:pPr>
        <w:jc w:val="both"/>
      </w:pPr>
    </w:p>
    <w:p w:rsidR="00D27AA8" w:rsidRDefault="00D27AA8" w:rsidP="00F96AF4">
      <w:pPr>
        <w:jc w:val="both"/>
      </w:pPr>
    </w:p>
    <w:p w:rsidR="00D27AA8" w:rsidRDefault="00D27AA8" w:rsidP="00F96AF4">
      <w:pPr>
        <w:jc w:val="both"/>
      </w:pPr>
    </w:p>
    <w:p w:rsidR="00B81FB3" w:rsidRDefault="00B81FB3" w:rsidP="00F96AF4">
      <w:pPr>
        <w:pStyle w:val="Titolo1"/>
        <w:spacing w:line="360" w:lineRule="auto"/>
        <w:jc w:val="both"/>
        <w:rPr>
          <w:szCs w:val="24"/>
        </w:rPr>
      </w:pPr>
    </w:p>
    <w:p w:rsidR="00FD3156" w:rsidRDefault="00FD3156" w:rsidP="00F96AF4">
      <w:pPr>
        <w:pStyle w:val="Titolo1"/>
        <w:spacing w:line="360" w:lineRule="auto"/>
        <w:jc w:val="both"/>
        <w:rPr>
          <w:sz w:val="28"/>
          <w:szCs w:val="28"/>
        </w:rPr>
      </w:pPr>
    </w:p>
    <w:p w:rsidR="00D16703" w:rsidRPr="00E36AFA" w:rsidRDefault="00D16703" w:rsidP="00ED078A">
      <w:pPr>
        <w:jc w:val="both"/>
      </w:pPr>
      <w:r>
        <w:t xml:space="preserve"> </w:t>
      </w:r>
    </w:p>
    <w:sectPr w:rsidR="00D16703" w:rsidRPr="00E36AFA" w:rsidSect="007B7697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4FE"/>
    <w:multiLevelType w:val="hybridMultilevel"/>
    <w:tmpl w:val="200CF6AC"/>
    <w:lvl w:ilvl="0" w:tplc="5684624C">
      <w:start w:val="4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50B384C"/>
    <w:multiLevelType w:val="hybridMultilevel"/>
    <w:tmpl w:val="FAE23D20"/>
    <w:lvl w:ilvl="0" w:tplc="6F42A3A8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B0C6BA0"/>
    <w:multiLevelType w:val="hybridMultilevel"/>
    <w:tmpl w:val="230036E8"/>
    <w:lvl w:ilvl="0" w:tplc="E69A495E">
      <w:start w:val="9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160F94"/>
    <w:multiLevelType w:val="hybridMultilevel"/>
    <w:tmpl w:val="4B58E62C"/>
    <w:lvl w:ilvl="0" w:tplc="186E86D6">
      <w:start w:val="10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FBF56CE"/>
    <w:multiLevelType w:val="singleLevel"/>
    <w:tmpl w:val="E79E20F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40E00671"/>
    <w:multiLevelType w:val="hybridMultilevel"/>
    <w:tmpl w:val="BD8059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E7695"/>
    <w:multiLevelType w:val="hybridMultilevel"/>
    <w:tmpl w:val="8264B94A"/>
    <w:lvl w:ilvl="0" w:tplc="140E9DBA">
      <w:start w:val="9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81E0142"/>
    <w:multiLevelType w:val="hybridMultilevel"/>
    <w:tmpl w:val="ADE002D2"/>
    <w:lvl w:ilvl="0" w:tplc="78327D5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5E809F0"/>
    <w:multiLevelType w:val="hybridMultilevel"/>
    <w:tmpl w:val="375AFED4"/>
    <w:lvl w:ilvl="0" w:tplc="6EC88134">
      <w:start w:val="3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A8"/>
    <w:rsid w:val="00023DD2"/>
    <w:rsid w:val="0006358B"/>
    <w:rsid w:val="000A2CBC"/>
    <w:rsid w:val="000A74D9"/>
    <w:rsid w:val="000B6894"/>
    <w:rsid w:val="000C7426"/>
    <w:rsid w:val="000D1102"/>
    <w:rsid w:val="000D76B0"/>
    <w:rsid w:val="000F09B4"/>
    <w:rsid w:val="00106758"/>
    <w:rsid w:val="00112BAF"/>
    <w:rsid w:val="0011532D"/>
    <w:rsid w:val="00136FA3"/>
    <w:rsid w:val="00173836"/>
    <w:rsid w:val="00177A36"/>
    <w:rsid w:val="00180A88"/>
    <w:rsid w:val="001A2AC5"/>
    <w:rsid w:val="001A6934"/>
    <w:rsid w:val="001B52CB"/>
    <w:rsid w:val="001B6F4E"/>
    <w:rsid w:val="001C2906"/>
    <w:rsid w:val="001C2F4A"/>
    <w:rsid w:val="001C5597"/>
    <w:rsid w:val="001F2A49"/>
    <w:rsid w:val="00202746"/>
    <w:rsid w:val="002179B1"/>
    <w:rsid w:val="00223C71"/>
    <w:rsid w:val="002352E8"/>
    <w:rsid w:val="00235EE0"/>
    <w:rsid w:val="00263E93"/>
    <w:rsid w:val="0028322B"/>
    <w:rsid w:val="00283470"/>
    <w:rsid w:val="00291720"/>
    <w:rsid w:val="002A4E84"/>
    <w:rsid w:val="002B1B5C"/>
    <w:rsid w:val="002C18EE"/>
    <w:rsid w:val="002E151B"/>
    <w:rsid w:val="002F3DF5"/>
    <w:rsid w:val="002F7EEF"/>
    <w:rsid w:val="002F7F2B"/>
    <w:rsid w:val="003052F1"/>
    <w:rsid w:val="0032299C"/>
    <w:rsid w:val="00324DA6"/>
    <w:rsid w:val="00326AAE"/>
    <w:rsid w:val="00330853"/>
    <w:rsid w:val="0036100E"/>
    <w:rsid w:val="00361A9F"/>
    <w:rsid w:val="003825D0"/>
    <w:rsid w:val="003A6A78"/>
    <w:rsid w:val="003B373E"/>
    <w:rsid w:val="003C264B"/>
    <w:rsid w:val="003C7B75"/>
    <w:rsid w:val="003D0CDB"/>
    <w:rsid w:val="003D6EA8"/>
    <w:rsid w:val="003F0606"/>
    <w:rsid w:val="003F3944"/>
    <w:rsid w:val="0040114F"/>
    <w:rsid w:val="00421699"/>
    <w:rsid w:val="0042190D"/>
    <w:rsid w:val="004368DC"/>
    <w:rsid w:val="00440E00"/>
    <w:rsid w:val="00457240"/>
    <w:rsid w:val="004B33B0"/>
    <w:rsid w:val="004C5088"/>
    <w:rsid w:val="004F147E"/>
    <w:rsid w:val="0053679C"/>
    <w:rsid w:val="00546C49"/>
    <w:rsid w:val="00566A45"/>
    <w:rsid w:val="00587391"/>
    <w:rsid w:val="005A29E8"/>
    <w:rsid w:val="005D7B00"/>
    <w:rsid w:val="005E0E61"/>
    <w:rsid w:val="005F2DD8"/>
    <w:rsid w:val="00605279"/>
    <w:rsid w:val="0062160E"/>
    <w:rsid w:val="00621DCD"/>
    <w:rsid w:val="0064283D"/>
    <w:rsid w:val="00671C9F"/>
    <w:rsid w:val="00675FB0"/>
    <w:rsid w:val="006857B0"/>
    <w:rsid w:val="00690CF0"/>
    <w:rsid w:val="006A192E"/>
    <w:rsid w:val="006E45C5"/>
    <w:rsid w:val="006E76C9"/>
    <w:rsid w:val="006F1B9E"/>
    <w:rsid w:val="00710154"/>
    <w:rsid w:val="00713C24"/>
    <w:rsid w:val="00730B69"/>
    <w:rsid w:val="00735643"/>
    <w:rsid w:val="00744FB4"/>
    <w:rsid w:val="007464B5"/>
    <w:rsid w:val="00777E2E"/>
    <w:rsid w:val="007952F8"/>
    <w:rsid w:val="007A1DE8"/>
    <w:rsid w:val="007A4815"/>
    <w:rsid w:val="007B63A0"/>
    <w:rsid w:val="007B7697"/>
    <w:rsid w:val="007C09DC"/>
    <w:rsid w:val="007C0FB3"/>
    <w:rsid w:val="007D3560"/>
    <w:rsid w:val="007D528D"/>
    <w:rsid w:val="007F51FE"/>
    <w:rsid w:val="00802B51"/>
    <w:rsid w:val="00815763"/>
    <w:rsid w:val="00817357"/>
    <w:rsid w:val="00817F7F"/>
    <w:rsid w:val="00825F0C"/>
    <w:rsid w:val="008508CA"/>
    <w:rsid w:val="00871ADB"/>
    <w:rsid w:val="008B791A"/>
    <w:rsid w:val="008C6696"/>
    <w:rsid w:val="008D2381"/>
    <w:rsid w:val="008F11F7"/>
    <w:rsid w:val="00907F89"/>
    <w:rsid w:val="00925BD9"/>
    <w:rsid w:val="0096491D"/>
    <w:rsid w:val="009705C5"/>
    <w:rsid w:val="009732F9"/>
    <w:rsid w:val="009772A7"/>
    <w:rsid w:val="00991202"/>
    <w:rsid w:val="009935EF"/>
    <w:rsid w:val="009A1FFE"/>
    <w:rsid w:val="009A7466"/>
    <w:rsid w:val="009E67E8"/>
    <w:rsid w:val="00A0260D"/>
    <w:rsid w:val="00A03820"/>
    <w:rsid w:val="00A14CDF"/>
    <w:rsid w:val="00A175A7"/>
    <w:rsid w:val="00A30161"/>
    <w:rsid w:val="00A32F66"/>
    <w:rsid w:val="00A55046"/>
    <w:rsid w:val="00A622BC"/>
    <w:rsid w:val="00A72614"/>
    <w:rsid w:val="00AC255C"/>
    <w:rsid w:val="00AD58CC"/>
    <w:rsid w:val="00AE6375"/>
    <w:rsid w:val="00AF7015"/>
    <w:rsid w:val="00B029FC"/>
    <w:rsid w:val="00B441F7"/>
    <w:rsid w:val="00B81FB3"/>
    <w:rsid w:val="00B964DB"/>
    <w:rsid w:val="00BA5294"/>
    <w:rsid w:val="00BB1485"/>
    <w:rsid w:val="00BC1A6A"/>
    <w:rsid w:val="00BC6FD7"/>
    <w:rsid w:val="00C042C7"/>
    <w:rsid w:val="00C06705"/>
    <w:rsid w:val="00C073D1"/>
    <w:rsid w:val="00C10AC4"/>
    <w:rsid w:val="00C12DCF"/>
    <w:rsid w:val="00C1419A"/>
    <w:rsid w:val="00C44BB4"/>
    <w:rsid w:val="00C50474"/>
    <w:rsid w:val="00C644D8"/>
    <w:rsid w:val="00C96537"/>
    <w:rsid w:val="00CB3748"/>
    <w:rsid w:val="00CB450C"/>
    <w:rsid w:val="00CC6BBD"/>
    <w:rsid w:val="00CE21DA"/>
    <w:rsid w:val="00D137DE"/>
    <w:rsid w:val="00D16703"/>
    <w:rsid w:val="00D254FE"/>
    <w:rsid w:val="00D27AA8"/>
    <w:rsid w:val="00D63A80"/>
    <w:rsid w:val="00D65879"/>
    <w:rsid w:val="00D85C83"/>
    <w:rsid w:val="00D863C3"/>
    <w:rsid w:val="00D9174F"/>
    <w:rsid w:val="00DA56BA"/>
    <w:rsid w:val="00DA5FB8"/>
    <w:rsid w:val="00DA75FF"/>
    <w:rsid w:val="00DB075F"/>
    <w:rsid w:val="00DB1820"/>
    <w:rsid w:val="00DC015E"/>
    <w:rsid w:val="00DC718A"/>
    <w:rsid w:val="00DF789F"/>
    <w:rsid w:val="00E13624"/>
    <w:rsid w:val="00E23A8D"/>
    <w:rsid w:val="00E36AFA"/>
    <w:rsid w:val="00E42B70"/>
    <w:rsid w:val="00E46743"/>
    <w:rsid w:val="00E71755"/>
    <w:rsid w:val="00EA00BC"/>
    <w:rsid w:val="00EA1C88"/>
    <w:rsid w:val="00ED078A"/>
    <w:rsid w:val="00EE6219"/>
    <w:rsid w:val="00EF1CD7"/>
    <w:rsid w:val="00F04BC0"/>
    <w:rsid w:val="00F349C9"/>
    <w:rsid w:val="00F41902"/>
    <w:rsid w:val="00F43665"/>
    <w:rsid w:val="00F5177E"/>
    <w:rsid w:val="00F52D45"/>
    <w:rsid w:val="00F53C9E"/>
    <w:rsid w:val="00F62900"/>
    <w:rsid w:val="00F630B5"/>
    <w:rsid w:val="00F63E82"/>
    <w:rsid w:val="00F80F4C"/>
    <w:rsid w:val="00F96AF4"/>
    <w:rsid w:val="00FA5114"/>
    <w:rsid w:val="00FC3C8F"/>
    <w:rsid w:val="00FD3156"/>
    <w:rsid w:val="00FE2C74"/>
    <w:rsid w:val="00FF249F"/>
    <w:rsid w:val="00FF34C6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9D0596-9634-4761-A624-42F61563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7697"/>
  </w:style>
  <w:style w:type="paragraph" w:styleId="Titolo1">
    <w:name w:val="heading 1"/>
    <w:basedOn w:val="Normale"/>
    <w:next w:val="Normale"/>
    <w:qFormat/>
    <w:rsid w:val="007B7697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7B7697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B7697"/>
    <w:pPr>
      <w:keepNext/>
      <w:ind w:left="705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27AA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Componenti CdA</vt:lpstr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Componenti CdA</dc:title>
  <dc:creator>adriana</dc:creator>
  <cp:lastModifiedBy>Utente Windows</cp:lastModifiedBy>
  <cp:revision>2</cp:revision>
  <cp:lastPrinted>2014-01-13T12:12:00Z</cp:lastPrinted>
  <dcterms:created xsi:type="dcterms:W3CDTF">2021-12-23T09:37:00Z</dcterms:created>
  <dcterms:modified xsi:type="dcterms:W3CDTF">2021-12-23T09:37:00Z</dcterms:modified>
</cp:coreProperties>
</file>